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780" w:hRule="atLeast"/>
        </w:trPr>
        <w:tc>
          <w:tcPr>
            <w:tcW w:w="8306" w:type="dxa"/>
            <w:shd w:val="clear" w:color="auto" w:fill="FFFFFF"/>
            <w:tcMar>
              <w:top w:w="150" w:type="dxa"/>
              <w:left w:w="300" w:type="dxa"/>
              <w:bottom w:w="150" w:type="dxa"/>
              <w:right w:w="300" w:type="dxa"/>
            </w:tcMar>
            <w:vAlign w:val="center"/>
          </w:tcPr>
          <w:p>
            <w:pPr>
              <w:widowControl/>
              <w:spacing w:line="120" w:lineRule="atLeast"/>
              <w:jc w:val="center"/>
              <w:rPr>
                <w:rFonts w:ascii="宋体" w:hAnsi="宋体" w:eastAsia="宋体" w:cs="宋体"/>
                <w:b/>
                <w:bCs/>
                <w:color w:val="175C97"/>
                <w:kern w:val="0"/>
                <w:sz w:val="38"/>
                <w:szCs w:val="38"/>
              </w:rPr>
            </w:pPr>
            <w:r>
              <w:rPr>
                <w:rFonts w:hint="eastAsia" w:ascii="宋体" w:hAnsi="宋体" w:eastAsia="宋体" w:cs="宋体"/>
                <w:b/>
                <w:bCs/>
                <w:color w:val="175C97"/>
                <w:kern w:val="0"/>
                <w:sz w:val="38"/>
                <w:szCs w:val="38"/>
              </w:rPr>
              <w:t>山东省教育厅山东省财政厅关于开展山东省职业教育教学改革研究项目立项工作的通知</w:t>
            </w:r>
          </w:p>
        </w:tc>
      </w:tr>
      <w:tr>
        <w:tblPrEx>
          <w:shd w:val="clear" w:color="auto" w:fill="FFFFFF"/>
          <w:tblLayout w:type="fixed"/>
          <w:tblCellMar>
            <w:top w:w="0" w:type="dxa"/>
            <w:left w:w="0" w:type="dxa"/>
            <w:bottom w:w="0" w:type="dxa"/>
            <w:right w:w="0" w:type="dxa"/>
          </w:tblCellMar>
        </w:tblPrEx>
        <w:trPr>
          <w:trHeight w:val="15" w:hRule="atLeast"/>
        </w:trPr>
        <w:tc>
          <w:tcPr>
            <w:tcW w:w="8306" w:type="dxa"/>
            <w:shd w:val="clear" w:color="auto" w:fill="CCCCCC"/>
            <w:vAlign w:val="center"/>
          </w:tcPr>
          <w:p>
            <w:pPr>
              <w:widowControl/>
              <w:spacing w:line="120" w:lineRule="atLeast"/>
              <w:jc w:val="center"/>
              <w:rPr>
                <w:rFonts w:hint="eastAsia" w:ascii="宋体" w:hAnsi="宋体" w:eastAsia="宋体" w:cs="宋体"/>
                <w:b/>
                <w:bCs/>
                <w:color w:val="175C97"/>
                <w:kern w:val="0"/>
                <w:sz w:val="38"/>
                <w:szCs w:val="38"/>
              </w:rPr>
            </w:pPr>
          </w:p>
        </w:tc>
      </w:tr>
    </w:tbl>
    <w:p>
      <w:pPr>
        <w:widowControl/>
        <w:jc w:val="left"/>
        <w:rPr>
          <w:rFonts w:ascii="宋体" w:hAnsi="宋体" w:eastAsia="宋体" w:cs="宋体"/>
          <w:vanish/>
          <w:kern w:val="0"/>
          <w:sz w:val="24"/>
          <w:szCs w:val="24"/>
        </w:rPr>
      </w:pPr>
    </w:p>
    <w:tbl>
      <w:tblPr>
        <w:tblStyle w:val="5"/>
        <w:tblW w:w="8306"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465" w:hRule="atLeast"/>
        </w:trPr>
        <w:tc>
          <w:tcPr>
            <w:tcW w:w="8306" w:type="dxa"/>
            <w:shd w:val="clear" w:color="auto" w:fill="FFFFFF"/>
            <w:vAlign w:val="center"/>
          </w:tcPr>
          <w:p>
            <w:pPr>
              <w:widowControl/>
              <w:spacing w:line="225" w:lineRule="atLeast"/>
              <w:jc w:val="center"/>
              <w:rPr>
                <w:rFonts w:ascii="宋体" w:hAnsi="宋体" w:eastAsia="宋体" w:cs="宋体"/>
                <w:color w:val="666666"/>
                <w:kern w:val="0"/>
                <w:sz w:val="18"/>
                <w:szCs w:val="18"/>
              </w:rPr>
            </w:pPr>
            <w:bookmarkStart w:id="0" w:name="_GoBack"/>
            <w:bookmarkEnd w:id="0"/>
          </w:p>
        </w:tc>
      </w:tr>
    </w:tbl>
    <w:p>
      <w:pPr>
        <w:widowControl/>
        <w:jc w:val="left"/>
        <w:rPr>
          <w:rFonts w:ascii="宋体" w:hAnsi="宋体" w:eastAsia="宋体" w:cs="宋体"/>
          <w:vanish/>
          <w:kern w:val="0"/>
          <w:sz w:val="24"/>
          <w:szCs w:val="24"/>
        </w:rPr>
      </w:pPr>
    </w:p>
    <w:tbl>
      <w:tblPr>
        <w:tblStyle w:val="5"/>
        <w:tblW w:w="8306" w:type="dxa"/>
        <w:tblInd w:w="0" w:type="dxa"/>
        <w:shd w:val="clear" w:color="auto" w:fill="FFFFFF"/>
        <w:tblLayout w:type="fixed"/>
        <w:tblCellMar>
          <w:top w:w="150" w:type="dxa"/>
          <w:left w:w="0" w:type="dxa"/>
          <w:bottom w:w="150" w:type="dxa"/>
          <w:right w:w="0" w:type="dxa"/>
        </w:tblCellMar>
      </w:tblPr>
      <w:tblGrid>
        <w:gridCol w:w="8306"/>
      </w:tblGrid>
      <w:tr>
        <w:tblPrEx>
          <w:tblLayout w:type="fixed"/>
          <w:tblCellMar>
            <w:top w:w="150" w:type="dxa"/>
            <w:left w:w="0" w:type="dxa"/>
            <w:bottom w:w="150" w:type="dxa"/>
            <w:right w:w="0" w:type="dxa"/>
          </w:tblCellMar>
        </w:tblPrEx>
        <w:tc>
          <w:tcPr>
            <w:tcW w:w="8306" w:type="dxa"/>
            <w:shd w:val="clear" w:color="auto" w:fill="FFFFFF"/>
          </w:tcPr>
          <w:tbl>
            <w:tblPr>
              <w:tblStyle w:val="5"/>
              <w:tblW w:w="8306"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855" w:hRule="atLeast"/>
              </w:trPr>
              <w:tc>
                <w:tcPr>
                  <w:tcW w:w="8306" w:type="dxa"/>
                  <w:tcBorders>
                    <w:top w:val="nil"/>
                    <w:left w:val="nil"/>
                    <w:bottom w:val="nil"/>
                    <w:right w:val="nil"/>
                  </w:tcBorders>
                  <w:shd w:val="clear" w:color="auto" w:fill="auto"/>
                </w:tcPr>
                <w:p>
                  <w:pPr>
                    <w:widowControl/>
                    <w:jc w:val="left"/>
                    <w:rPr>
                      <w:rFonts w:hint="eastAsia" w:ascii="宋体" w:hAnsi="宋体" w:eastAsia="宋体" w:cs="宋体"/>
                      <w:kern w:val="0"/>
                      <w:sz w:val="24"/>
                      <w:szCs w:val="24"/>
                    </w:rPr>
                  </w:pPr>
                  <w:r>
                    <w:rPr>
                      <w:rFonts w:ascii="MS Gothic" w:hAnsi="MS Gothic" w:eastAsia="MS Gothic" w:cs="MS Gothic"/>
                      <w:kern w:val="0"/>
                      <w:sz w:val="24"/>
                      <w:szCs w:val="24"/>
                    </w:rPr>
                    <w:t>​</w:t>
                  </w:r>
                </w:p>
              </w:tc>
            </w:tr>
            <w:tr>
              <w:tblPrEx>
                <w:tblLayout w:type="fixed"/>
                <w:tblCellMar>
                  <w:top w:w="0" w:type="dxa"/>
                  <w:left w:w="0" w:type="dxa"/>
                  <w:bottom w:w="0" w:type="dxa"/>
                  <w:right w:w="0" w:type="dxa"/>
                </w:tblCellMar>
              </w:tblPrEx>
              <w:trPr>
                <w:trHeight w:val="345" w:hRule="atLeast"/>
              </w:trPr>
              <w:tc>
                <w:tcPr>
                  <w:tcW w:w="8306" w:type="dxa"/>
                  <w:tcBorders>
                    <w:top w:val="nil"/>
                    <w:left w:val="nil"/>
                    <w:bottom w:val="nil"/>
                    <w:right w:val="nil"/>
                  </w:tcBorders>
                  <w:shd w:val="clear" w:color="auto" w:fill="auto"/>
                </w:tcPr>
                <w:p>
                  <w:pPr>
                    <w:widowControl/>
                    <w:spacing w:line="360" w:lineRule="atLeast"/>
                    <w:jc w:val="center"/>
                    <w:rPr>
                      <w:rFonts w:ascii="宋体" w:hAnsi="宋体" w:eastAsia="宋体" w:cs="宋体"/>
                      <w:color w:val="333333"/>
                      <w:kern w:val="0"/>
                      <w:szCs w:val="21"/>
                    </w:rPr>
                  </w:pPr>
                  <w:r>
                    <w:rPr>
                      <w:rFonts w:ascii="Times New Roman" w:hAnsi="Times New Roman" w:eastAsia="宋体" w:cs="Times New Roman"/>
                      <w:color w:val="333333"/>
                      <w:kern w:val="0"/>
                      <w:sz w:val="32"/>
                      <w:szCs w:val="32"/>
                    </w:rPr>
                    <w:t>鲁教职字〔2015〕11号</w:t>
                  </w:r>
                </w:p>
                <w:p>
                  <w:pPr>
                    <w:widowControl/>
                    <w:spacing w:line="360" w:lineRule="atLeast"/>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  </w:t>
                  </w:r>
                </w:p>
              </w:tc>
            </w:tr>
            <w:tr>
              <w:tblPrEx>
                <w:tblLayout w:type="fixed"/>
                <w:tblCellMar>
                  <w:top w:w="0" w:type="dxa"/>
                  <w:left w:w="0" w:type="dxa"/>
                  <w:bottom w:w="0" w:type="dxa"/>
                  <w:right w:w="0" w:type="dxa"/>
                </w:tblCellMar>
              </w:tblPrEx>
              <w:trPr>
                <w:trHeight w:val="225" w:hRule="atLeast"/>
              </w:trPr>
              <w:tc>
                <w:tcPr>
                  <w:tcW w:w="8306" w:type="dxa"/>
                  <w:tcBorders>
                    <w:top w:val="nil"/>
                    <w:left w:val="nil"/>
                    <w:bottom w:val="single" w:color="000000" w:sz="12" w:space="0"/>
                    <w:right w:val="nil"/>
                  </w:tcBorders>
                  <w:shd w:val="clear" w:color="auto" w:fill="auto"/>
                </w:tcPr>
                <w:p>
                  <w:pPr>
                    <w:widowControl/>
                    <w:spacing w:line="360" w:lineRule="atLeast"/>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  </w:t>
                  </w:r>
                </w:p>
                <w:tbl>
                  <w:tblPr>
                    <w:tblStyle w:val="5"/>
                    <w:tblW w:w="8306"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c>
                      <w:tcPr>
                        <w:tcW w:w="8306" w:type="dxa"/>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ascii="MS Gothic" w:hAnsi="MS Gothic" w:eastAsia="MS Gothic" w:cs="MS Gothic"/>
                            <w:kern w:val="0"/>
                            <w:sz w:val="24"/>
                            <w:szCs w:val="24"/>
                          </w:rPr>
                          <w:t>​</w:t>
                        </w:r>
                      </w:p>
                    </w:tc>
                  </w:tr>
                </w:tbl>
                <w:p>
                  <w:pPr>
                    <w:widowControl/>
                    <w:spacing w:line="480" w:lineRule="auto"/>
                    <w:jc w:val="left"/>
                    <w:rPr>
                      <w:rFonts w:ascii="宋体" w:hAnsi="宋体" w:eastAsia="宋体" w:cs="宋体"/>
                      <w:color w:val="333333"/>
                      <w:kern w:val="0"/>
                      <w:szCs w:val="21"/>
                    </w:rPr>
                  </w:pPr>
                  <w:r>
                    <w:rPr>
                      <w:rFonts w:hint="eastAsia" w:ascii="宋体" w:hAnsi="宋体" w:eastAsia="宋体" w:cs="宋体"/>
                      <w:color w:val="333333"/>
                      <w:kern w:val="0"/>
                      <w:szCs w:val="21"/>
                    </w:rPr>
                    <w:t> </w:t>
                  </w:r>
                </w:p>
              </w:tc>
            </w:tr>
          </w:tbl>
          <w:p>
            <w:pPr>
              <w:widowControl/>
              <w:spacing w:line="585"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widowControl/>
              <w:spacing w:line="645" w:lineRule="atLeast"/>
              <w:jc w:val="center"/>
              <w:rPr>
                <w:rFonts w:hint="eastAsia" w:ascii="宋体" w:hAnsi="宋体" w:eastAsia="宋体" w:cs="宋体"/>
                <w:color w:val="333333"/>
                <w:kern w:val="0"/>
                <w:szCs w:val="21"/>
              </w:rPr>
            </w:pPr>
            <w:r>
              <w:rPr>
                <w:rFonts w:ascii="Times New Roman" w:hAnsi="Times New Roman" w:eastAsia="宋体" w:cs="Times New Roman"/>
                <w:color w:val="333333"/>
                <w:kern w:val="0"/>
                <w:sz w:val="44"/>
                <w:szCs w:val="44"/>
              </w:rPr>
              <w:t>山东省教育厅山东省财政厅</w:t>
            </w:r>
          </w:p>
          <w:p>
            <w:pPr>
              <w:widowControl/>
              <w:spacing w:line="645" w:lineRule="atLeast"/>
              <w:jc w:val="center"/>
              <w:rPr>
                <w:rFonts w:hint="eastAsia" w:ascii="宋体" w:hAnsi="宋体" w:eastAsia="宋体" w:cs="宋体"/>
                <w:color w:val="333333"/>
                <w:kern w:val="0"/>
                <w:szCs w:val="21"/>
              </w:rPr>
            </w:pPr>
            <w:r>
              <w:rPr>
                <w:rFonts w:hint="eastAsia" w:ascii="方正小标宋简体" w:hAnsi="宋体" w:eastAsia="方正小标宋简体" w:cs="宋体"/>
                <w:color w:val="333333"/>
                <w:kern w:val="0"/>
                <w:sz w:val="44"/>
                <w:szCs w:val="44"/>
              </w:rPr>
              <w:t>关于开展山东省职业教育教学改革</w:t>
            </w:r>
          </w:p>
          <w:p>
            <w:pPr>
              <w:widowControl/>
              <w:spacing w:line="645" w:lineRule="atLeast"/>
              <w:jc w:val="center"/>
              <w:rPr>
                <w:rFonts w:hint="eastAsia" w:ascii="宋体" w:hAnsi="宋体" w:eastAsia="宋体" w:cs="宋体"/>
                <w:color w:val="333333"/>
                <w:kern w:val="0"/>
                <w:szCs w:val="21"/>
              </w:rPr>
            </w:pPr>
            <w:r>
              <w:rPr>
                <w:rFonts w:hint="eastAsia" w:ascii="方正小标宋简体" w:hAnsi="Times New Roman" w:eastAsia="方正小标宋简体" w:cs="Times New Roman"/>
                <w:color w:val="333333"/>
                <w:kern w:val="0"/>
                <w:sz w:val="44"/>
                <w:szCs w:val="44"/>
              </w:rPr>
              <w:t>研究项目立项工作的通知</w:t>
            </w:r>
          </w:p>
          <w:p>
            <w:pPr>
              <w:widowControl/>
              <w:spacing w:line="585"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widowControl/>
              <w:spacing w:line="585" w:lineRule="atLeast"/>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各市教育局、财政局，各高等职业院校：</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为贯彻落实全国职业教育工作会议精神和《国务院关于加快发展现代职业教育的决定》（国发〔2014〕19号），促进我省职业教育教学改革与创新，加强职业教育内涵建设，不断提高人才培养质量，经研究，决定开展山东省职业教育教学改革研究项目立项工作，现就有关事项通知如下:</w:t>
            </w:r>
          </w:p>
          <w:p>
            <w:pPr>
              <w:widowControl/>
              <w:spacing w:line="585" w:lineRule="atLeast"/>
              <w:ind w:firstLine="645"/>
              <w:jc w:val="left"/>
              <w:rPr>
                <w:rFonts w:hint="eastAsia" w:ascii="宋体" w:hAnsi="宋体" w:eastAsia="宋体" w:cs="宋体"/>
                <w:color w:val="333333"/>
                <w:kern w:val="0"/>
                <w:szCs w:val="21"/>
              </w:rPr>
            </w:pPr>
            <w:r>
              <w:rPr>
                <w:rFonts w:hint="eastAsia" w:ascii="黑体" w:hAnsi="黑体" w:eastAsia="黑体" w:cs="宋体"/>
                <w:color w:val="333333"/>
                <w:kern w:val="0"/>
                <w:sz w:val="32"/>
                <w:szCs w:val="32"/>
              </w:rPr>
              <w:t>一、指导思想</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以科学发展观为指导，坚持职业教育内涵发展，发挥教学改革研究在职业教育教学中的基础性、战略性、先导性作用，以实证研究推动职业教育教学改革的理论升华、制度创新和实践突破；系统推进职业教育教学的基本理论研究、宏观政策研究和教育实践研究，重视理论研究和教学创新相结合，加强研究成果的转化推广；发挥示范与引领作用，以科学研究指导改革实践，进一步深化教学改革，推进教育创新，切实提高人才培养质量，不断增强职业教育服务经济社会发展的能力。</w:t>
            </w:r>
          </w:p>
          <w:p>
            <w:pPr>
              <w:widowControl/>
              <w:spacing w:line="585" w:lineRule="atLeast"/>
              <w:ind w:firstLine="645"/>
              <w:jc w:val="left"/>
              <w:rPr>
                <w:rFonts w:hint="eastAsia" w:ascii="宋体" w:hAnsi="宋体" w:eastAsia="宋体" w:cs="宋体"/>
                <w:color w:val="333333"/>
                <w:kern w:val="0"/>
                <w:szCs w:val="21"/>
              </w:rPr>
            </w:pPr>
            <w:r>
              <w:rPr>
                <w:rFonts w:hint="eastAsia" w:ascii="黑体" w:hAnsi="黑体" w:eastAsia="黑体" w:cs="宋体"/>
                <w:color w:val="333333"/>
                <w:kern w:val="0"/>
                <w:sz w:val="32"/>
                <w:szCs w:val="32"/>
              </w:rPr>
              <w:t>二、立项原则</w:t>
            </w:r>
          </w:p>
          <w:p>
            <w:pPr>
              <w:widowControl/>
              <w:spacing w:line="585" w:lineRule="atLeast"/>
              <w:ind w:firstLine="645"/>
              <w:rPr>
                <w:rFonts w:hint="eastAsia" w:ascii="宋体" w:hAnsi="宋体" w:eastAsia="宋体" w:cs="宋体"/>
                <w:color w:val="333333"/>
                <w:kern w:val="0"/>
                <w:szCs w:val="21"/>
              </w:rPr>
            </w:pPr>
            <w:r>
              <w:rPr>
                <w:rFonts w:hint="eastAsia" w:ascii="楷体_GB2312" w:hAnsi="宋体" w:eastAsia="楷体_GB2312" w:cs="宋体"/>
                <w:color w:val="333333"/>
                <w:kern w:val="0"/>
                <w:sz w:val="32"/>
                <w:szCs w:val="32"/>
              </w:rPr>
              <w:t>（一）突出重点。</w:t>
            </w:r>
            <w:r>
              <w:rPr>
                <w:rFonts w:ascii="仿宋_GB2312" w:hAnsi="仿宋_GB2312" w:eastAsia="宋体" w:cs="宋体"/>
                <w:color w:val="333333"/>
                <w:kern w:val="0"/>
                <w:sz w:val="32"/>
                <w:szCs w:val="32"/>
              </w:rPr>
              <w:t>结合山东职业教育实际，着力研究新常态下我省职业教育教学改革与人才培养中的重点和难点问题以及构建现代职业教育体系中的关键环节与重点领域。</w:t>
            </w:r>
          </w:p>
          <w:p>
            <w:pPr>
              <w:widowControl/>
              <w:spacing w:line="585" w:lineRule="atLeast"/>
              <w:ind w:firstLine="645"/>
              <w:rPr>
                <w:rFonts w:hint="eastAsia" w:ascii="宋体" w:hAnsi="宋体" w:eastAsia="宋体" w:cs="宋体"/>
                <w:color w:val="333333"/>
                <w:kern w:val="0"/>
                <w:szCs w:val="21"/>
              </w:rPr>
            </w:pPr>
            <w:r>
              <w:rPr>
                <w:rFonts w:hint="eastAsia" w:ascii="楷体_GB2312" w:hAnsi="宋体" w:eastAsia="楷体_GB2312" w:cs="宋体"/>
                <w:color w:val="333333"/>
                <w:kern w:val="0"/>
                <w:sz w:val="32"/>
                <w:szCs w:val="32"/>
              </w:rPr>
              <w:t>（二）注重创新。</w:t>
            </w:r>
            <w:r>
              <w:rPr>
                <w:rFonts w:ascii="仿宋_GB2312" w:hAnsi="仿宋_GB2312" w:eastAsia="宋体" w:cs="宋体"/>
                <w:color w:val="333333"/>
                <w:kern w:val="0"/>
                <w:sz w:val="32"/>
                <w:szCs w:val="32"/>
              </w:rPr>
              <w:t>遵循职业教育最新理念，努力推进职业院校在人才培养模式创新、专业课程建设、教学模式改革、师资队伍建设、实训体系建设、职教集团作用发挥、企业主体作用体现、现代学徒制实践、评价体系创新、信息化教学资源建设、校园文化建设、德育建设等方面有所创新和突破。</w:t>
            </w:r>
          </w:p>
          <w:p>
            <w:pPr>
              <w:widowControl/>
              <w:spacing w:line="585" w:lineRule="atLeast"/>
              <w:ind w:firstLine="645"/>
              <w:rPr>
                <w:rFonts w:hint="eastAsia" w:ascii="宋体" w:hAnsi="宋体" w:eastAsia="宋体" w:cs="宋体"/>
                <w:color w:val="333333"/>
                <w:kern w:val="0"/>
                <w:szCs w:val="21"/>
              </w:rPr>
            </w:pPr>
            <w:r>
              <w:rPr>
                <w:rFonts w:hint="eastAsia" w:ascii="楷体_GB2312" w:hAnsi="宋体" w:eastAsia="楷体_GB2312" w:cs="宋体"/>
                <w:color w:val="333333"/>
                <w:kern w:val="0"/>
                <w:sz w:val="32"/>
                <w:szCs w:val="32"/>
              </w:rPr>
              <w:t>（三）示范引领。</w:t>
            </w:r>
            <w:r>
              <w:rPr>
                <w:rFonts w:ascii="仿宋_GB2312" w:hAnsi="仿宋_GB2312" w:eastAsia="宋体" w:cs="宋体"/>
                <w:color w:val="333333"/>
                <w:kern w:val="0"/>
                <w:sz w:val="32"/>
                <w:szCs w:val="32"/>
              </w:rPr>
              <w:t>积极发挥教学改革研究在教学改革方向上的引导作用、在教学改革项目建设上的示范作用、在推进教学改革力度上的激励作用和在提高教学质量上的辐射推动作用，调动职业院校广大教师支持改革、参与改革、深化改革的积极性、主动性和创造性。</w:t>
            </w:r>
          </w:p>
          <w:p>
            <w:pPr>
              <w:widowControl/>
              <w:spacing w:line="585" w:lineRule="atLeast"/>
              <w:ind w:firstLine="645"/>
              <w:rPr>
                <w:rFonts w:hint="eastAsia" w:ascii="宋体" w:hAnsi="宋体" w:eastAsia="宋体" w:cs="宋体"/>
                <w:color w:val="333333"/>
                <w:kern w:val="0"/>
                <w:szCs w:val="21"/>
              </w:rPr>
            </w:pPr>
            <w:r>
              <w:rPr>
                <w:rFonts w:hint="eastAsia" w:ascii="楷体_GB2312" w:hAnsi="宋体" w:eastAsia="楷体_GB2312" w:cs="宋体"/>
                <w:color w:val="333333"/>
                <w:kern w:val="0"/>
                <w:sz w:val="32"/>
                <w:szCs w:val="32"/>
              </w:rPr>
              <w:t>（四）实践先导。</w:t>
            </w:r>
            <w:r>
              <w:rPr>
                <w:rFonts w:ascii="仿宋_GB2312" w:hAnsi="仿宋_GB2312" w:eastAsia="宋体" w:cs="宋体"/>
                <w:color w:val="333333"/>
                <w:kern w:val="0"/>
                <w:sz w:val="32"/>
                <w:szCs w:val="32"/>
              </w:rPr>
              <w:t>充分体现一线教学改革实践在教学改革研究中的先导作用，以实践问题引导研究方向，以实践效果检验研究成果。注重研究的实效性，促进研究成果应用于实践，解决教育教学实际问题。</w:t>
            </w:r>
          </w:p>
          <w:p>
            <w:pPr>
              <w:widowControl/>
              <w:spacing w:line="585" w:lineRule="atLeast"/>
              <w:ind w:firstLine="645"/>
              <w:jc w:val="left"/>
              <w:rPr>
                <w:rFonts w:hint="eastAsia" w:ascii="宋体" w:hAnsi="宋体" w:eastAsia="宋体" w:cs="宋体"/>
                <w:color w:val="333333"/>
                <w:kern w:val="0"/>
                <w:szCs w:val="21"/>
              </w:rPr>
            </w:pPr>
            <w:r>
              <w:rPr>
                <w:rFonts w:hint="eastAsia" w:ascii="黑体" w:hAnsi="黑体" w:eastAsia="黑体" w:cs="宋体"/>
                <w:color w:val="333333"/>
                <w:kern w:val="0"/>
                <w:sz w:val="32"/>
                <w:szCs w:val="32"/>
              </w:rPr>
              <w:t>三、目标任务</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鼓励职业院校广大教师和教学管理人员，围绕人才培养的关键要素，深入研究职业教育改革发展和人才培养过程中的新问题、新情况，特别是研究山东省乃至全国职业教育发展中具有全局性、战略性和前瞻性的重大问题、教育教学改革关键环节和重点领域中的热点、难点问题，提高职业教育教学研究水平，通过集中力量联合攻关和鼓励学校创新实践相结合，培育一批可复制、可借鉴、务实有效、理论和实践层面都有突破创新、国内领先水平的教学成果。</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w:t>
            </w:r>
            <w:r>
              <w:rPr>
                <w:rFonts w:ascii="仿宋_GB2312" w:hAnsi="仿宋_GB2312" w:eastAsia="宋体" w:cs="Times New Roman"/>
                <w:color w:val="333333"/>
                <w:kern w:val="0"/>
                <w:sz w:val="32"/>
                <w:szCs w:val="32"/>
              </w:rPr>
              <w:t>从2015年起，每两年组织遴选、立项800项教学改革项目（中、高职学校各400项），其中，重点资助项目100项左右，一般资助项目400项左右，自筹经费项目300项左右。</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w:t>
            </w:r>
            <w:r>
              <w:rPr>
                <w:rFonts w:ascii="仿宋_GB2312" w:hAnsi="仿宋_GB2312" w:eastAsia="宋体" w:cs="Times New Roman"/>
                <w:color w:val="333333"/>
                <w:kern w:val="0"/>
                <w:sz w:val="32"/>
                <w:szCs w:val="32"/>
              </w:rPr>
              <w:t>重点项目研究面向各级教育行政部门、职业教育研究机构和各职业院校，围绕我省如何贯彻落实国务院国发〔2014〕19号文件和教育部等6部门制定的《现代职业教育体系建设规划（2014-2020年）》，侧重于体制机制层面研究，理论研究与实践创新并重，研究成果具有科学性、创新性、可复制性和可借鉴性，具有较大的推广和应用价值。</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w:t>
            </w:r>
            <w:r>
              <w:rPr>
                <w:rFonts w:ascii="仿宋_GB2312" w:hAnsi="仿宋_GB2312" w:eastAsia="宋体" w:cs="Times New Roman"/>
                <w:color w:val="333333"/>
                <w:kern w:val="0"/>
                <w:sz w:val="32"/>
                <w:szCs w:val="32"/>
              </w:rPr>
              <w:t>其他项目主要面向本校或区域，围绕提高职业教育人才培养质量进行研究，侧重于实践创新、措施突破等方面，研究成果实施成效显著，能有力地促进本校或者区域职业教育教学改革发展。</w:t>
            </w:r>
          </w:p>
          <w:p>
            <w:pPr>
              <w:widowControl/>
              <w:spacing w:line="585" w:lineRule="atLeast"/>
              <w:ind w:firstLine="645"/>
              <w:jc w:val="left"/>
              <w:rPr>
                <w:rFonts w:hint="eastAsia" w:ascii="宋体" w:hAnsi="宋体" w:eastAsia="宋体" w:cs="宋体"/>
                <w:color w:val="333333"/>
                <w:kern w:val="0"/>
                <w:szCs w:val="21"/>
              </w:rPr>
            </w:pPr>
            <w:r>
              <w:rPr>
                <w:rFonts w:hint="eastAsia" w:ascii="黑体" w:hAnsi="黑体" w:eastAsia="黑体" w:cs="宋体"/>
                <w:color w:val="333333"/>
                <w:kern w:val="0"/>
                <w:sz w:val="32"/>
                <w:szCs w:val="32"/>
              </w:rPr>
              <w:t>四、立项程序</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采取单位推荐申报、专家评审、网上公示、立项资助的方式进行。</w:t>
            </w:r>
          </w:p>
          <w:p>
            <w:pPr>
              <w:widowControl/>
              <w:spacing w:line="585" w:lineRule="atLeast"/>
              <w:ind w:firstLine="645"/>
              <w:rPr>
                <w:rFonts w:hint="eastAsia" w:ascii="宋体" w:hAnsi="宋体" w:eastAsia="宋体" w:cs="宋体"/>
                <w:color w:val="333333"/>
                <w:kern w:val="0"/>
                <w:szCs w:val="21"/>
              </w:rPr>
            </w:pPr>
            <w:r>
              <w:rPr>
                <w:rFonts w:hint="eastAsia" w:ascii="楷体_GB2312" w:hAnsi="宋体" w:eastAsia="楷体_GB2312" w:cs="宋体"/>
                <w:color w:val="333333"/>
                <w:kern w:val="0"/>
                <w:sz w:val="32"/>
                <w:szCs w:val="32"/>
              </w:rPr>
              <w:t>（一）单位推荐申报</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1.申报范围。各职业院校结合学校办学与人才培养定位，在《山东省职业教育教学改革研究项目立项指南》（附件1）范围内，自行命题组织申报。鼓励由职业院校牵头，邀请行业协会、企业及其他学校参与，组建政、行、校、企实力较强的项目研究团队联合申报。已获得同级及以上部门立项支持的项目不再申报。</w:t>
            </w:r>
          </w:p>
          <w:p>
            <w:pPr>
              <w:widowControl/>
              <w:spacing w:line="585" w:lineRule="atLeast"/>
              <w:ind w:firstLine="645"/>
              <w:jc w:val="left"/>
              <w:rPr>
                <w:rFonts w:hint="eastAsia" w:ascii="宋体" w:hAnsi="宋体" w:eastAsia="宋体" w:cs="宋体"/>
                <w:color w:val="333333"/>
                <w:kern w:val="0"/>
                <w:szCs w:val="21"/>
              </w:rPr>
            </w:pPr>
            <w:r>
              <w:rPr>
                <w:rFonts w:ascii="仿宋_GB2312" w:hAnsi="仿宋_GB2312" w:eastAsia="宋体" w:cs="Times New Roman"/>
                <w:color w:val="333333"/>
                <w:kern w:val="0"/>
                <w:sz w:val="32"/>
                <w:szCs w:val="32"/>
              </w:rPr>
              <w:t>2.申报要求。申报项目须有一定研究实践基础，由立项单位择优推荐。联合申报的项目，由主持单位负责推荐。申报人须为本科以上学历、具有中级以上专业技术职务、从事职业教育教学工作5年以上的教师、教学管理人员和教育工作者；重点项目申报人原则上应具有较强研究能力、副高级以上职称。省级教改项目实行项目主持人负责制，限主持申报1个项目，并限参加不超过2个教改项目。参加单位和人员数量不限。各学校负责人主持的立项项目原则上不超过立项总数的30%。允许在校兼职的企业工程技术人员申报项目。</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3.申报程序</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个人申请：项目主持人填写《山东省职业教育教学改革研究项目申报书》（附件2）及《山东省职业教育教学改革研究项目申报书（活页）》（附件3），向单位提出立项申请。</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遴选推荐：立项单位在校级或市级教改立项的基础上，择优推荐。遴选推荐项目须进行公示。</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组织上报：中职学校由各市遴选后上报；高职院校直接上报。</w:t>
            </w:r>
          </w:p>
          <w:p>
            <w:pPr>
              <w:widowControl/>
              <w:spacing w:line="585" w:lineRule="atLeast"/>
              <w:ind w:firstLine="645"/>
              <w:rPr>
                <w:rFonts w:hint="eastAsia" w:ascii="宋体" w:hAnsi="宋体" w:eastAsia="宋体" w:cs="宋体"/>
                <w:color w:val="333333"/>
                <w:kern w:val="0"/>
                <w:szCs w:val="21"/>
              </w:rPr>
            </w:pPr>
            <w:r>
              <w:rPr>
                <w:rFonts w:hint="eastAsia" w:ascii="楷体_GB2312" w:hAnsi="宋体" w:eastAsia="楷体_GB2312" w:cs="宋体"/>
                <w:color w:val="333333"/>
                <w:kern w:val="0"/>
                <w:sz w:val="32"/>
                <w:szCs w:val="32"/>
              </w:rPr>
              <w:t>（二）项目评审</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省教育厅组织专家对申报项目进行评审。评审坚持公开公平公正的原则，择优遴选。</w:t>
            </w:r>
          </w:p>
          <w:p>
            <w:pPr>
              <w:widowControl/>
              <w:spacing w:line="585" w:lineRule="atLeast"/>
              <w:ind w:firstLine="645"/>
              <w:rPr>
                <w:rFonts w:hint="eastAsia" w:ascii="宋体" w:hAnsi="宋体" w:eastAsia="宋体" w:cs="宋体"/>
                <w:color w:val="333333"/>
                <w:kern w:val="0"/>
                <w:szCs w:val="21"/>
              </w:rPr>
            </w:pPr>
            <w:r>
              <w:rPr>
                <w:rFonts w:hint="eastAsia" w:ascii="楷体_GB2312" w:hAnsi="宋体" w:eastAsia="楷体_GB2312" w:cs="宋体"/>
                <w:color w:val="333333"/>
                <w:kern w:val="0"/>
                <w:sz w:val="32"/>
                <w:szCs w:val="32"/>
              </w:rPr>
              <w:t>（三）网上公示</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根据专家评审结果，省教育厅对拟立项的教学改革研究项目进行网上公示，接受监督。</w:t>
            </w:r>
          </w:p>
          <w:p>
            <w:pPr>
              <w:widowControl/>
              <w:spacing w:line="585" w:lineRule="atLeast"/>
              <w:ind w:firstLine="645"/>
              <w:jc w:val="lef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（四）立项资助</w:t>
            </w:r>
          </w:p>
          <w:p>
            <w:pPr>
              <w:widowControl/>
              <w:spacing w:line="585" w:lineRule="atLeast"/>
              <w:ind w:firstLine="645"/>
              <w:jc w:val="left"/>
              <w:rPr>
                <w:rFonts w:hint="eastAsia" w:ascii="宋体" w:hAnsi="宋体" w:eastAsia="宋体" w:cs="宋体"/>
                <w:color w:val="333333"/>
                <w:kern w:val="0"/>
                <w:szCs w:val="21"/>
              </w:rPr>
            </w:pPr>
            <w:r>
              <w:rPr>
                <w:rFonts w:ascii="仿宋_GB2312" w:hAnsi="仿宋_GB2312" w:eastAsia="宋体" w:cs="Times New Roman"/>
                <w:color w:val="333333"/>
                <w:kern w:val="0"/>
                <w:sz w:val="32"/>
                <w:szCs w:val="32"/>
              </w:rPr>
              <w:t>1.经公示无异议后，省教育厅公布立项名单。</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2.省财政设立专项经费，重点项目给予支持经费5-8万元，一般资助项目给予支持经费1-3万元。研究经费委托项目主持人所在单位进行管理，实行项目承担单位法人负责制。</w:t>
            </w:r>
          </w:p>
          <w:p>
            <w:pPr>
              <w:widowControl/>
              <w:spacing w:line="585" w:lineRule="atLeast"/>
              <w:ind w:firstLine="645"/>
              <w:rPr>
                <w:rFonts w:hint="eastAsia" w:ascii="宋体" w:hAnsi="宋体" w:eastAsia="宋体" w:cs="宋体"/>
                <w:color w:val="333333"/>
                <w:kern w:val="0"/>
                <w:szCs w:val="21"/>
              </w:rPr>
            </w:pPr>
            <w:r>
              <w:rPr>
                <w:rFonts w:hint="eastAsia" w:ascii="黑体" w:hAnsi="黑体" w:eastAsia="黑体" w:cs="宋体"/>
                <w:color w:val="333333"/>
                <w:kern w:val="0"/>
                <w:sz w:val="32"/>
                <w:szCs w:val="32"/>
              </w:rPr>
              <w:t>五、项目研究时限及应用推广</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教改项目研究时限一般为2-3年。省级教改项目研究成果在今后申报省级教学成果奖时同等条件下优先推荐。教改项目的研究成果（报告、专著、论文、教材、软件、数据库、专利等）公开出版、发表时，可在醒目位置标注“山东省职业教育教学改革研究（重点）项目”和立项编号。</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省教育厅将不定期对通过结题鉴定的优秀教学改革研究项目成果进行汇编，并适时召开职业教育教学改革研究项目成果报告会，及时发布研究成果信息，开展学术交流，充分发挥优秀成果对教学改革的推动作用，扩大优秀成果的社会影响力。</w:t>
            </w:r>
          </w:p>
          <w:p>
            <w:pPr>
              <w:widowControl/>
              <w:spacing w:line="585" w:lineRule="atLeast"/>
              <w:ind w:firstLine="645"/>
              <w:rPr>
                <w:rFonts w:hint="eastAsia" w:ascii="宋体" w:hAnsi="宋体" w:eastAsia="宋体" w:cs="宋体"/>
                <w:color w:val="333333"/>
                <w:kern w:val="0"/>
                <w:szCs w:val="21"/>
              </w:rPr>
            </w:pPr>
            <w:r>
              <w:rPr>
                <w:rFonts w:hint="eastAsia" w:ascii="黑体" w:hAnsi="黑体" w:eastAsia="黑体" w:cs="宋体"/>
                <w:color w:val="333333"/>
                <w:kern w:val="0"/>
                <w:sz w:val="32"/>
                <w:szCs w:val="32"/>
              </w:rPr>
              <w:t>六、2015年申报工作</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2015年，示范性（骨干）高职院校可申报12个项目；省技能型特色名校建设单位可申报8个项目；其他高职院校可申报5个项目。各市申报数额按中职学校数量、在校生数、生师比及中等职业教育发展水平等因素综合确定（见附件4）。各市、高职院校请于4月25日前报送《2015年山东省职业教育教改立项工作联系人信息表》（附件5）。5月10日前，报送《山东省职业教育教学改革研究项目申报汇总表》（附件6）电子版。5月15日前，报送纸质版《山东省职业教育教学改革研究项目申报书》一式3份，加盖公章；《山东省职业教育教学改革研究项目申报书（活页）》一式5份；报送地址：济南市南圩门外街8号408室,邮编：250011）。并提交申报材料电子版（登陆山东省职业教育与成人教育网站http://www.sdvae.com/Web/Index.aspx，通过山东省职业教育教学改革研究项目管理系统，提交相关申报材料）。</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联系人：王志刚、刘宝君，电话，0531-81916646、81916526，邮箱sdzjjglx</w:t>
            </w:r>
            <w:r>
              <w:rPr>
                <w:rFonts w:ascii="Times New Roman" w:hAnsi="Times New Roman" w:eastAsia="宋体" w:cs="Times New Roman"/>
                <w:color w:val="333333"/>
                <w:kern w:val="0"/>
                <w:sz w:val="32"/>
                <w:szCs w:val="32"/>
              </w:rPr>
              <w:t>@</w:t>
            </w:r>
            <w:r>
              <w:rPr>
                <w:rFonts w:ascii="仿宋_GB2312" w:hAnsi="仿宋_GB2312" w:eastAsia="宋体" w:cs="宋体"/>
                <w:color w:val="333333"/>
                <w:kern w:val="0"/>
                <w:sz w:val="32"/>
                <w:szCs w:val="32"/>
              </w:rPr>
              <w:t>163.com。</w:t>
            </w:r>
          </w:p>
          <w:p>
            <w:pPr>
              <w:widowControl/>
              <w:spacing w:line="585" w:lineRule="atLeast"/>
              <w:ind w:firstLine="645"/>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widowControl/>
              <w:spacing w:line="585" w:lineRule="atLeast"/>
              <w:ind w:firstLine="645"/>
              <w:rPr>
                <w:rFonts w:hint="eastAsia" w:ascii="宋体" w:hAnsi="宋体" w:eastAsia="宋体" w:cs="宋体"/>
                <w:color w:val="333333"/>
                <w:kern w:val="0"/>
                <w:szCs w:val="21"/>
              </w:rPr>
            </w:pPr>
            <w:r>
              <w:rPr>
                <w:rFonts w:ascii="仿宋_GB2312" w:hAnsi="仿宋_GB2312" w:eastAsia="宋体" w:cs="宋体"/>
                <w:color w:val="333333"/>
                <w:kern w:val="0"/>
                <w:sz w:val="32"/>
                <w:szCs w:val="32"/>
              </w:rPr>
              <w:t>附件：1.山东省职业教育教学改革研究项目立项指南</w:t>
            </w:r>
          </w:p>
          <w:p>
            <w:pPr>
              <w:widowControl/>
              <w:spacing w:line="585" w:lineRule="atLeast"/>
              <w:ind w:firstLine="1605"/>
              <w:rPr>
                <w:rFonts w:hint="eastAsia" w:ascii="宋体" w:hAnsi="宋体" w:eastAsia="宋体" w:cs="宋体"/>
                <w:color w:val="333333"/>
                <w:kern w:val="0"/>
                <w:szCs w:val="21"/>
              </w:rPr>
            </w:pPr>
            <w:r>
              <w:rPr>
                <w:rFonts w:ascii="仿宋_GB2312" w:hAnsi="仿宋_GB2312" w:eastAsia="宋体" w:cs="宋体"/>
                <w:color w:val="333333"/>
                <w:kern w:val="0"/>
                <w:sz w:val="32"/>
                <w:szCs w:val="32"/>
              </w:rPr>
              <w:t>2.山东省职业教育教学改革研究项目申报书</w:t>
            </w:r>
          </w:p>
          <w:p>
            <w:pPr>
              <w:widowControl/>
              <w:spacing w:line="585" w:lineRule="atLeast"/>
              <w:ind w:firstLine="1605"/>
              <w:rPr>
                <w:rFonts w:hint="eastAsia" w:ascii="宋体" w:hAnsi="宋体" w:eastAsia="宋体" w:cs="宋体"/>
                <w:color w:val="333333"/>
                <w:kern w:val="0"/>
                <w:szCs w:val="21"/>
              </w:rPr>
            </w:pPr>
            <w:r>
              <w:rPr>
                <w:rFonts w:ascii="仿宋_GB2312" w:hAnsi="仿宋_GB2312" w:eastAsia="宋体" w:cs="宋体"/>
                <w:color w:val="333333"/>
                <w:kern w:val="0"/>
                <w:sz w:val="32"/>
                <w:szCs w:val="32"/>
              </w:rPr>
              <w:t>3.山东省职业教育教学改革研究项目申报书（活页）</w:t>
            </w:r>
          </w:p>
          <w:p>
            <w:pPr>
              <w:widowControl/>
              <w:spacing w:line="585" w:lineRule="atLeast"/>
              <w:ind w:left="1920"/>
              <w:rPr>
                <w:rFonts w:hint="eastAsia" w:ascii="宋体" w:hAnsi="宋体" w:eastAsia="宋体" w:cs="宋体"/>
                <w:color w:val="333333"/>
                <w:kern w:val="0"/>
                <w:szCs w:val="21"/>
              </w:rPr>
            </w:pPr>
            <w:r>
              <w:rPr>
                <w:rFonts w:ascii="仿宋_GB2312" w:hAnsi="仿宋_GB2312" w:eastAsia="宋体" w:cs="宋体"/>
                <w:color w:val="333333"/>
                <w:kern w:val="0"/>
                <w:sz w:val="32"/>
                <w:szCs w:val="32"/>
              </w:rPr>
              <w:t>4.2015年各市职业教育教学改革研究项目申报数额表</w:t>
            </w:r>
          </w:p>
          <w:p>
            <w:pPr>
              <w:widowControl/>
              <w:spacing w:line="585" w:lineRule="atLeast"/>
              <w:ind w:left="1920"/>
              <w:rPr>
                <w:rFonts w:hint="eastAsia" w:ascii="宋体" w:hAnsi="宋体" w:eastAsia="宋体" w:cs="宋体"/>
                <w:color w:val="333333"/>
                <w:kern w:val="0"/>
                <w:szCs w:val="21"/>
              </w:rPr>
            </w:pPr>
            <w:r>
              <w:rPr>
                <w:rFonts w:ascii="仿宋_GB2312" w:hAnsi="仿宋_GB2312" w:eastAsia="宋体" w:cs="宋体"/>
                <w:color w:val="333333"/>
                <w:kern w:val="0"/>
                <w:sz w:val="32"/>
                <w:szCs w:val="32"/>
              </w:rPr>
              <w:t>5.2015年山东省职业教育教学改革研究项目立项工作联系人信息表</w:t>
            </w:r>
          </w:p>
          <w:p>
            <w:pPr>
              <w:widowControl/>
              <w:spacing w:line="585" w:lineRule="atLeast"/>
              <w:ind w:left="1920"/>
              <w:rPr>
                <w:rFonts w:hint="eastAsia" w:ascii="宋体" w:hAnsi="宋体" w:eastAsia="宋体" w:cs="宋体"/>
                <w:color w:val="333333"/>
                <w:kern w:val="0"/>
                <w:szCs w:val="21"/>
              </w:rPr>
            </w:pPr>
            <w:r>
              <w:rPr>
                <w:rFonts w:ascii="仿宋_GB2312" w:hAnsi="仿宋_GB2312" w:eastAsia="宋体" w:cs="宋体"/>
                <w:color w:val="333333"/>
                <w:kern w:val="0"/>
                <w:sz w:val="32"/>
                <w:szCs w:val="32"/>
              </w:rPr>
              <w:t>6.2015年山东省职业教育教学改革研究项目申</w:t>
            </w:r>
          </w:p>
          <w:p>
            <w:pPr>
              <w:widowControl/>
              <w:spacing w:line="585" w:lineRule="atLeast"/>
              <w:ind w:firstLine="1920"/>
              <w:rPr>
                <w:rFonts w:hint="eastAsia" w:ascii="宋体" w:hAnsi="宋体" w:eastAsia="宋体" w:cs="宋体"/>
                <w:color w:val="333333"/>
                <w:kern w:val="0"/>
                <w:szCs w:val="21"/>
              </w:rPr>
            </w:pPr>
            <w:r>
              <w:rPr>
                <w:rFonts w:ascii="仿宋_GB2312" w:hAnsi="仿宋_GB2312" w:eastAsia="宋体" w:cs="宋体"/>
                <w:color w:val="333333"/>
                <w:kern w:val="0"/>
                <w:sz w:val="32"/>
                <w:szCs w:val="32"/>
              </w:rPr>
              <w:t>报汇总表</w:t>
            </w:r>
          </w:p>
          <w:p>
            <w:pPr>
              <w:widowControl/>
              <w:spacing w:line="585" w:lineRule="atLeast"/>
              <w:ind w:left="1590"/>
              <w:jc w:val="left"/>
              <w:rPr>
                <w:rFonts w:hint="eastAsia" w:ascii="宋体" w:hAnsi="宋体" w:eastAsia="宋体" w:cs="宋体"/>
                <w:color w:val="333333"/>
                <w:kern w:val="0"/>
                <w:szCs w:val="21"/>
              </w:rPr>
            </w:pPr>
            <w:r>
              <w:rPr>
                <w:rFonts w:ascii="仿宋_GB2312" w:hAnsi="仿宋_GB2312" w:eastAsia="宋体" w:cs="Times New Roman"/>
                <w:color w:val="333333"/>
                <w:kern w:val="0"/>
                <w:sz w:val="32"/>
                <w:szCs w:val="32"/>
              </w:rPr>
              <w:t>7.高职院校代码表</w:t>
            </w:r>
          </w:p>
          <w:p>
            <w:pPr>
              <w:widowControl/>
              <w:spacing w:line="585" w:lineRule="atLeast"/>
              <w:ind w:firstLine="645"/>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p>
          <w:tbl>
            <w:tblPr>
              <w:tblStyle w:val="5"/>
              <w:tblW w:w="5010" w:type="dxa"/>
              <w:tblInd w:w="0" w:type="dxa"/>
              <w:tblLayout w:type="fixed"/>
              <w:tblCellMar>
                <w:top w:w="0" w:type="dxa"/>
                <w:left w:w="105" w:type="dxa"/>
                <w:bottom w:w="0" w:type="dxa"/>
                <w:right w:w="105" w:type="dxa"/>
              </w:tblCellMar>
            </w:tblPr>
            <w:tblGrid>
              <w:gridCol w:w="2385"/>
              <w:gridCol w:w="240"/>
              <w:gridCol w:w="2385"/>
            </w:tblGrid>
            <w:tr>
              <w:tblPrEx>
                <w:tblLayout w:type="fixed"/>
                <w:tblCellMar>
                  <w:top w:w="0" w:type="dxa"/>
                  <w:left w:w="105" w:type="dxa"/>
                  <w:bottom w:w="0" w:type="dxa"/>
                  <w:right w:w="105" w:type="dxa"/>
                </w:tblCellMar>
              </w:tblPrEx>
              <w:trPr>
                <w:trHeight w:val="2385" w:hRule="atLeast"/>
              </w:trPr>
              <w:tc>
                <w:tcPr>
                  <w:tcW w:w="2385" w:type="dxa"/>
                  <w:tcBorders>
                    <w:top w:val="nil"/>
                    <w:left w:val="nil"/>
                    <w:bottom w:val="nil"/>
                    <w:right w:val="nil"/>
                  </w:tcBorders>
                  <w:shd w:val="clear" w:color="auto" w:fill="auto"/>
                  <w:vAlign w:val="center"/>
                </w:tcPr>
                <w:p>
                  <w:pPr>
                    <w:widowControl/>
                    <w:spacing w:line="585" w:lineRule="atLeast"/>
                    <w:jc w:val="right"/>
                    <w:rPr>
                      <w:rFonts w:hint="eastAsia" w:ascii="宋体" w:hAnsi="宋体" w:eastAsia="宋体" w:cs="宋体"/>
                      <w:color w:val="333333"/>
                      <w:kern w:val="0"/>
                      <w:szCs w:val="21"/>
                    </w:rPr>
                  </w:pPr>
                  <w:r>
                    <w:rPr>
                      <w:rFonts w:ascii="Times New Roman" w:hAnsi="Times New Roman" w:eastAsia="宋体" w:cs="Times New Roman"/>
                      <w:color w:val="333333"/>
                      <w:kern w:val="0"/>
                      <w:sz w:val="32"/>
                      <w:szCs w:val="32"/>
                    </w:rPr>
                    <w:t>山东省教育厅</w:t>
                  </w:r>
                </w:p>
              </w:tc>
              <w:tc>
                <w:tcPr>
                  <w:tcW w:w="240" w:type="dxa"/>
                  <w:tcBorders>
                    <w:top w:val="nil"/>
                    <w:left w:val="nil"/>
                    <w:bottom w:val="nil"/>
                    <w:right w:val="nil"/>
                  </w:tcBorders>
                  <w:shd w:val="clear" w:color="auto" w:fill="auto"/>
                  <w:vAlign w:val="center"/>
                </w:tcPr>
                <w:p>
                  <w:pPr>
                    <w:widowControl/>
                    <w:jc w:val="right"/>
                    <w:rPr>
                      <w:rFonts w:hint="eastAsia" w:ascii="宋体" w:hAnsi="宋体" w:eastAsia="宋体" w:cs="宋体"/>
                      <w:kern w:val="0"/>
                      <w:sz w:val="24"/>
                      <w:szCs w:val="24"/>
                    </w:rPr>
                  </w:pPr>
                  <w:r>
                    <w:rPr>
                      <w:rFonts w:ascii="MS Gothic" w:hAnsi="MS Gothic" w:eastAsia="MS Gothic" w:cs="MS Gothic"/>
                      <w:kern w:val="0"/>
                      <w:sz w:val="24"/>
                      <w:szCs w:val="24"/>
                    </w:rPr>
                    <w:t>​</w:t>
                  </w:r>
                </w:p>
              </w:tc>
              <w:tc>
                <w:tcPr>
                  <w:tcW w:w="2385" w:type="dxa"/>
                  <w:tcBorders>
                    <w:top w:val="nil"/>
                    <w:left w:val="nil"/>
                    <w:bottom w:val="nil"/>
                    <w:right w:val="nil"/>
                  </w:tcBorders>
                  <w:shd w:val="clear" w:color="auto" w:fill="auto"/>
                  <w:vAlign w:val="center"/>
                </w:tcPr>
                <w:p>
                  <w:pPr>
                    <w:widowControl/>
                    <w:spacing w:line="585" w:lineRule="atLeast"/>
                    <w:jc w:val="right"/>
                    <w:rPr>
                      <w:rFonts w:ascii="宋体" w:hAnsi="宋体" w:eastAsia="宋体" w:cs="宋体"/>
                      <w:color w:val="333333"/>
                      <w:kern w:val="0"/>
                      <w:szCs w:val="21"/>
                    </w:rPr>
                  </w:pPr>
                  <w:r>
                    <w:rPr>
                      <w:rFonts w:ascii="Times New Roman" w:hAnsi="Times New Roman" w:eastAsia="宋体" w:cs="Times New Roman"/>
                      <w:color w:val="333333"/>
                      <w:kern w:val="0"/>
                      <w:sz w:val="32"/>
                      <w:szCs w:val="32"/>
                    </w:rPr>
                    <w:t>山东省财政厅</w:t>
                  </w:r>
                </w:p>
              </w:tc>
            </w:tr>
          </w:tbl>
          <w:p>
            <w:pPr>
              <w:widowControl/>
              <w:spacing w:line="585" w:lineRule="atLeast"/>
              <w:ind w:right="1260"/>
              <w:jc w:val="right"/>
              <w:rPr>
                <w:rFonts w:hint="eastAsia" w:ascii="宋体" w:hAnsi="宋体" w:eastAsia="宋体" w:cs="宋体"/>
                <w:color w:val="333333"/>
                <w:kern w:val="0"/>
                <w:szCs w:val="21"/>
              </w:rPr>
            </w:pPr>
            <w:r>
              <w:rPr>
                <w:rFonts w:ascii="仿宋_GB2312" w:hAnsi="仿宋_GB2312" w:eastAsia="宋体" w:cs="Times New Roman"/>
                <w:color w:val="333333"/>
                <w:kern w:val="0"/>
                <w:sz w:val="32"/>
                <w:szCs w:val="32"/>
              </w:rPr>
              <w:t>2015年4月22日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71"/>
    <w:rsid w:val="00011C6D"/>
    <w:rsid w:val="00340BAD"/>
    <w:rsid w:val="004D2B28"/>
    <w:rsid w:val="009537C0"/>
    <w:rsid w:val="00975F71"/>
    <w:rsid w:val="7D4651E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477</Words>
  <Characters>2719</Characters>
  <Lines>22</Lines>
  <Paragraphs>6</Paragraphs>
  <ScaleCrop>false</ScaleCrop>
  <LinksUpToDate>false</LinksUpToDate>
  <CharactersWithSpaces>3190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2018-12-17T05:59:00Z</dcterms:created>
  <dc:creator>User</dc:creator>
  <cp:lastModifiedBy>李宏</cp:lastModifiedBy>
  <dcterms:modified xsi:type="dcterms:W3CDTF">2018-12-17T08:10:32Z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