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adjustRightInd w:val="0"/>
        <w:snapToGrid w:val="0"/>
        <w:spacing w:before="0" w:beforeAutospacing="0" w:after="0" w:afterAutospacing="0" w:line="360" w:lineRule="auto"/>
        <w:jc w:val="center"/>
        <w:rPr>
          <w:b/>
          <w:color w:val="333333"/>
          <w:spacing w:val="8"/>
          <w:sz w:val="29"/>
          <w:szCs w:val="29"/>
        </w:rPr>
      </w:pPr>
      <w:r>
        <w:rPr>
          <w:rFonts w:hint="eastAsia"/>
          <w:b/>
          <w:color w:val="333333"/>
          <w:spacing w:val="8"/>
          <w:sz w:val="29"/>
          <w:szCs w:val="29"/>
        </w:rPr>
        <w:t>关于启动2018级普通本科生辅修第二专业报名工作的通知</w:t>
      </w:r>
    </w:p>
    <w:p>
      <w:pPr>
        <w:pStyle w:val="3"/>
        <w:shd w:val="clear" w:color="auto" w:fill="FFFFFF"/>
        <w:adjustRightInd w:val="0"/>
        <w:snapToGrid w:val="0"/>
        <w:spacing w:before="0" w:beforeAutospacing="0" w:after="0" w:afterAutospacing="0" w:line="360" w:lineRule="auto"/>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各学院：</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根据《山东省教育厅关于进一步加强高校双学位、辅修第二专业教育教学管理的通知》及《山东女子学院辅修第二专业（学位）教育管理实施细则》的要求，现启动2018级本科生辅修第二专业报名工作，并将相关事项安排如下：</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一、报名基本条件</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2018级在籍在校本科学生（不含专升本），入学以来无考试作弊行为，且修读所有课程环节平均学分绩点大于等于</w:t>
      </w:r>
      <w:r>
        <w:rPr>
          <w:rFonts w:asciiTheme="minorEastAsia" w:hAnsiTheme="minorEastAsia" w:eastAsiaTheme="minorEastAsia"/>
          <w:color w:val="000000" w:themeColor="text1"/>
          <w:spacing w:val="8"/>
          <w14:textFill>
            <w14:solidFill>
              <w14:schemeClr w14:val="tx1"/>
            </w14:solidFill>
          </w14:textFill>
        </w:rPr>
        <w:t>2.0</w:t>
      </w:r>
      <w:r>
        <w:rPr>
          <w:rFonts w:hint="eastAsia" w:asciiTheme="minorEastAsia" w:hAnsiTheme="minorEastAsia" w:eastAsiaTheme="minorEastAsia"/>
          <w:color w:val="000000" w:themeColor="text1"/>
          <w:spacing w:val="8"/>
          <w14:textFill>
            <w14:solidFill>
              <w14:schemeClr w14:val="tx1"/>
            </w14:solidFill>
          </w14:textFill>
        </w:rPr>
        <w:t>者均可报名。</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 xml:space="preserve">二、拟开设辅修第二专业教育的专业 </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教育学院：学前教育（非师范类）</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会计学院：会计学</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外国语学院：英语</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工商管理学院：工商管理</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经济学院：国际经济与贸易</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Cs/>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学生每人只能自愿选修一个辅修专业，不能多选；</w:t>
      </w:r>
      <w:r>
        <w:rPr>
          <w:rFonts w:hint="eastAsia" w:asciiTheme="minorEastAsia" w:hAnsiTheme="minorEastAsia" w:eastAsiaTheme="minorEastAsia"/>
          <w:bCs/>
          <w:color w:val="000000" w:themeColor="text1"/>
          <w:spacing w:val="8"/>
          <w14:textFill>
            <w14:solidFill>
              <w14:schemeClr w14:val="tx1"/>
            </w14:solidFill>
          </w14:textFill>
        </w:rPr>
        <w:t>学生进入教务系统辅修报名模块，所能看到的专业，即为可选的专业。</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三、修读要求</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1.为避免辅修与主修专业授课时间冲突，各辅修专业课程一般在周六、周日授课。</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2.辅修第二专业所开设的课程，学校统一进行严格考核。考核不合格者，可补考一次，补考仍不合格者，应当进行交费重修。</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3.辅修修读期间，有下列情形之一者，取消修读第二专业辅修资格：</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考试作弊的；主修专业一学期内有两门及以上或者累计有三门及以上课程不及格者；辅修第二专业累计有三门及以上课程不及格者。</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四、毕业规定</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1.参加辅修的本科学生须在第3至8学期（大二第一学期至大四第</w:t>
      </w:r>
      <w:r>
        <w:rPr>
          <w:rFonts w:hint="eastAsia" w:asciiTheme="minorEastAsia" w:hAnsiTheme="minorEastAsia" w:eastAsiaTheme="minorEastAsia"/>
          <w:color w:val="000000" w:themeColor="text1"/>
          <w:spacing w:val="8"/>
          <w:lang w:val="en-US" w:eastAsia="zh-CN"/>
          <w14:textFill>
            <w14:solidFill>
              <w14:schemeClr w14:val="tx1"/>
            </w14:solidFill>
          </w14:textFill>
        </w:rPr>
        <w:t>二</w:t>
      </w:r>
      <w:r>
        <w:rPr>
          <w:rFonts w:hint="eastAsia" w:asciiTheme="minorEastAsia" w:hAnsiTheme="minorEastAsia" w:eastAsiaTheme="minorEastAsia"/>
          <w:color w:val="000000" w:themeColor="text1"/>
          <w:spacing w:val="8"/>
          <w14:textFill>
            <w14:solidFill>
              <w14:schemeClr w14:val="tx1"/>
            </w14:solidFill>
          </w14:textFill>
        </w:rPr>
        <w:t xml:space="preserve">学期） </w:t>
      </w:r>
      <w:r>
        <w:rPr>
          <w:rFonts w:hint="eastAsia" w:asciiTheme="minorEastAsia" w:hAnsiTheme="minorEastAsia" w:eastAsiaTheme="minorEastAsia"/>
          <w:color w:val="000000" w:themeColor="text1"/>
          <w:spacing w:val="8"/>
          <w:lang w:val="en-US" w:eastAsia="zh-CN"/>
          <w14:textFill>
            <w14:solidFill>
              <w14:schemeClr w14:val="tx1"/>
            </w14:solidFill>
          </w14:textFill>
        </w:rPr>
        <w:t>六</w:t>
      </w:r>
      <w:r>
        <w:rPr>
          <w:rFonts w:hint="eastAsia" w:asciiTheme="minorEastAsia" w:hAnsiTheme="minorEastAsia" w:eastAsiaTheme="minorEastAsia"/>
          <w:color w:val="000000" w:themeColor="text1"/>
          <w:spacing w:val="8"/>
          <w14:textFill>
            <w14:solidFill>
              <w14:schemeClr w14:val="tx1"/>
            </w14:solidFill>
          </w14:textFill>
        </w:rPr>
        <w:t>个学期时间内，修完辅修专业培养方案规定的学分。、</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spacing w:val="8"/>
          <w14:textFill>
            <w14:solidFill>
              <w14:schemeClr w14:val="tx1"/>
            </w14:solidFill>
          </w14:textFill>
        </w:rPr>
        <w:t>学生在获得主修专业毕业证书的前提下，修满第二专业人才培养方案所规定的学分，达到辅修第二专业人才培养方案中相关要求的，方获得</w:t>
      </w:r>
      <w:r>
        <w:rPr>
          <w:rFonts w:hint="eastAsia" w:asciiTheme="minorEastAsia" w:hAnsiTheme="minorEastAsia" w:eastAsiaTheme="minorEastAsia"/>
          <w:bCs/>
          <w:color w:val="000000" w:themeColor="text1"/>
          <w:spacing w:val="8"/>
          <w14:textFill>
            <w14:solidFill>
              <w14:schemeClr w14:val="tx1"/>
            </w14:solidFill>
          </w14:textFill>
        </w:rPr>
        <w:t>辅修专业证书。</w:t>
      </w:r>
      <w:r>
        <w:rPr>
          <w:rFonts w:hint="eastAsia" w:asciiTheme="minorEastAsia" w:hAnsiTheme="minorEastAsia" w:eastAsiaTheme="minorEastAsia"/>
          <w:b/>
          <w:color w:val="000000" w:themeColor="text1"/>
          <w:spacing w:val="8"/>
          <w14:textFill>
            <w14:solidFill>
              <w14:schemeClr w14:val="tx1"/>
            </w14:solidFill>
          </w14:textFill>
        </w:rPr>
        <w:t>符合辅修专业学位授予条件的，可以获得辅修专业学士学位。</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学生获得主修专业毕业资格的时间应与获得辅修专业证书的时间一致。在标准修业年限内未达到辅修专业证书颁发条件的，可在学校规定的最长弹性修业年限内，申请主修专业延期进行毕业结论认定并延长修业年限，或申请放弃辅修第二专业（学位）学习资格，终止辅修第二专业（学位）学习进程，由学校出具写实性辅修证明。</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3.根据教育部及省教育厅要求，辅修专业证书信息同主修专业毕业证书信息一样，均在教育部学籍学历信息平台备案，学生本人访问教育部学籍学历信息平台可查询本人的辅修专业证书信息。但与主修专业毕业证书信息不同的是：</w:t>
      </w:r>
      <w:r>
        <w:rPr>
          <w:rFonts w:hint="eastAsia" w:asciiTheme="minorEastAsia" w:hAnsiTheme="minorEastAsia" w:eastAsiaTheme="minorEastAsia"/>
          <w:b/>
          <w:color w:val="000000" w:themeColor="text1"/>
          <w:spacing w:val="8"/>
          <w14:textFill>
            <w14:solidFill>
              <w14:schemeClr w14:val="tx1"/>
            </w14:solidFill>
          </w14:textFill>
        </w:rPr>
        <w:t>学生本人的辅修专业证书信息，教育部学籍学历信息平台不对社会（用人单位）开放查询。辅修专业证书应与主修专业学历证书配合使用、同时出具方具备效力。</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五、辅修收费要求</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1.辅修第二专业按照学分收费。根据省物价局核准的我校学分制收费方案（每学分100元收费标准），2018级本科生辅修共需交纳辅修课程修读费用约6500元（以实际的辅修专业培养方案学分数为准）。</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2.辅修课程修读费用具体交费方式、分几次交费等具体事宜由财务处另行下发通知。</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3.每学期前三周为辅修课程试听阶段。试听阶段结束后，财务处按会下发通知收取辅修学生当学期辅修学分学费。试听阶段结束后，提出终止辅修修读进程申请的，按月计算辅修课程修读费用（修读四周计为一个月，不足一个月的，按一个月计算）。</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000000" w:themeColor="text1"/>
          <w:spacing w:val="8"/>
          <w14:textFill>
            <w14:solidFill>
              <w14:schemeClr w14:val="tx1"/>
            </w14:solidFill>
          </w14:textFill>
        </w:rPr>
      </w:pPr>
      <w:r>
        <w:rPr>
          <w:rFonts w:hint="eastAsia" w:asciiTheme="minorEastAsia" w:hAnsiTheme="minorEastAsia" w:eastAsiaTheme="minorEastAsia"/>
          <w:b/>
          <w:color w:val="000000" w:themeColor="text1"/>
          <w:spacing w:val="8"/>
          <w14:textFill>
            <w14:solidFill>
              <w14:schemeClr w14:val="tx1"/>
            </w14:solidFill>
          </w14:textFill>
        </w:rPr>
        <w:t>六、报名方法及工作进程</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1.2019年6月5日至21日23时59分，学生访问教务系统网页端（http://jwxt.sdwu.edu.cn）通过“学生学籍</w:t>
      </w:r>
      <w:r>
        <w:rPr>
          <w:rFonts w:ascii="Arial" w:hAnsi="Arial" w:cs="Arial" w:eastAsiaTheme="minorEastAsia"/>
          <w:color w:val="000000" w:themeColor="text1"/>
          <w:spacing w:val="8"/>
          <w14:textFill>
            <w14:solidFill>
              <w14:schemeClr w14:val="tx1"/>
            </w14:solidFill>
          </w14:textFill>
        </w:rPr>
        <w:t>→</w:t>
      </w:r>
      <w:r>
        <w:rPr>
          <w:rFonts w:hint="eastAsia" w:asciiTheme="minorEastAsia" w:hAnsiTheme="minorEastAsia" w:eastAsiaTheme="minorEastAsia"/>
          <w:color w:val="000000" w:themeColor="text1"/>
          <w:spacing w:val="8"/>
          <w14:textFill>
            <w14:solidFill>
              <w14:schemeClr w14:val="tx1"/>
            </w14:solidFill>
          </w14:textFill>
        </w:rPr>
        <w:t>学籍档案</w:t>
      </w:r>
      <w:r>
        <w:rPr>
          <w:rFonts w:ascii="Arial" w:hAnsi="Arial" w:cs="Arial" w:eastAsiaTheme="minorEastAsia"/>
          <w:color w:val="000000" w:themeColor="text1"/>
          <w:spacing w:val="8"/>
          <w14:textFill>
            <w14:solidFill>
              <w14:schemeClr w14:val="tx1"/>
            </w14:solidFill>
          </w14:textFill>
        </w:rPr>
        <w:t>→</w:t>
      </w:r>
      <w:r>
        <w:rPr>
          <w:rFonts w:hint="eastAsia" w:asciiTheme="minorEastAsia" w:hAnsiTheme="minorEastAsia" w:eastAsiaTheme="minorEastAsia"/>
          <w:color w:val="000000" w:themeColor="text1"/>
          <w:spacing w:val="8"/>
          <w14:textFill>
            <w14:solidFill>
              <w14:schemeClr w14:val="tx1"/>
            </w14:solidFill>
          </w14:textFill>
        </w:rPr>
        <w:t>辅修报名”功能模块，进行报名。</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2.报名结束后，学校根据报名情况，公布正式开设辅修第二专业教育的专业名称。（原则上报名人数大于等于</w:t>
      </w:r>
      <w:r>
        <w:rPr>
          <w:rFonts w:asciiTheme="minorEastAsia" w:hAnsiTheme="minorEastAsia" w:eastAsiaTheme="minorEastAsia"/>
          <w:color w:val="000000" w:themeColor="text1"/>
          <w:spacing w:val="8"/>
          <w14:textFill>
            <w14:solidFill>
              <w14:schemeClr w14:val="tx1"/>
            </w14:solidFill>
          </w14:textFill>
        </w:rPr>
        <w:t>25</w:t>
      </w:r>
      <w:r>
        <w:rPr>
          <w:rFonts w:hint="eastAsia" w:asciiTheme="minorEastAsia" w:hAnsiTheme="minorEastAsia" w:eastAsiaTheme="minorEastAsia"/>
          <w:color w:val="000000" w:themeColor="text1"/>
          <w:spacing w:val="8"/>
          <w14:textFill>
            <w14:solidFill>
              <w14:schemeClr w14:val="tx1"/>
            </w14:solidFill>
          </w14:textFill>
        </w:rPr>
        <w:t>人的，方开班）</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3.若所报辅修专业因故无法开出的，学校将开启第二轮报名，允许学生修改报名志愿。</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000000" w:themeColor="text1"/>
          <w:spacing w:val="8"/>
          <w14:textFill>
            <w14:solidFill>
              <w14:schemeClr w14:val="tx1"/>
            </w14:solidFill>
          </w14:textFill>
        </w:rPr>
      </w:pPr>
      <w:r>
        <w:rPr>
          <w:rFonts w:hint="eastAsia" w:asciiTheme="minorEastAsia" w:hAnsiTheme="minorEastAsia" w:eastAsiaTheme="minorEastAsia"/>
          <w:color w:val="000000" w:themeColor="text1"/>
          <w:spacing w:val="8"/>
          <w14:textFill>
            <w14:solidFill>
              <w14:schemeClr w14:val="tx1"/>
            </w14:solidFill>
          </w14:textFill>
        </w:rPr>
        <w:t>4.第二轮报名结束后，所选专业符合开班条件的学生不得更改志愿。</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b/>
          <w:color w:val="333333"/>
          <w:spacing w:val="8"/>
        </w:rPr>
      </w:pPr>
      <w:r>
        <w:rPr>
          <w:rFonts w:hint="eastAsia" w:asciiTheme="minorEastAsia" w:hAnsiTheme="minorEastAsia" w:eastAsiaTheme="minorEastAsia"/>
          <w:b/>
          <w:color w:val="333333"/>
          <w:spacing w:val="8"/>
        </w:rPr>
        <w:t>七、咨询方式</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开展辅修第二专业招生工作的学院，需在本学院网站首页公布辅修第二专业招生简介和辅修第二专业人才培养方案。学生关于辅修第二专业的具体培养要求、课程修读内容、修读学分等，可按如下方式咨询各专业:</w:t>
      </w:r>
    </w:p>
    <w:tbl>
      <w:tblPr>
        <w:tblStyle w:val="5"/>
        <w:tblW w:w="6662"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4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b/>
                <w:bCs/>
                <w:color w:val="333333"/>
                <w:spacing w:val="8"/>
              </w:rPr>
            </w:pPr>
            <w:r>
              <w:rPr>
                <w:rFonts w:asciiTheme="minorEastAsia" w:hAnsiTheme="minorEastAsia" w:eastAsiaTheme="minorEastAsia"/>
                <w:b/>
                <w:bCs/>
                <w:color w:val="333333"/>
                <w:spacing w:val="8"/>
              </w:rPr>
              <w:t>辅修专业名称</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b/>
                <w:bCs/>
                <w:color w:val="333333"/>
                <w:spacing w:val="8"/>
              </w:rPr>
            </w:pPr>
            <w:r>
              <w:rPr>
                <w:rFonts w:asciiTheme="minorEastAsia" w:hAnsiTheme="minorEastAsia" w:eastAsiaTheme="minorEastAsia"/>
                <w:b/>
                <w:bCs/>
                <w:color w:val="333333"/>
                <w:spacing w:val="8"/>
              </w:rPr>
              <w:t>咨询人</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b/>
                <w:bCs/>
                <w:color w:val="333333"/>
                <w:spacing w:val="8"/>
              </w:rPr>
            </w:pPr>
            <w:r>
              <w:rPr>
                <w:rFonts w:asciiTheme="minorEastAsia" w:hAnsiTheme="minorEastAsia" w:eastAsiaTheme="minorEastAsia"/>
                <w:b/>
                <w:bCs/>
                <w:color w:val="333333"/>
                <w:spacing w:val="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工商管理</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秦老师</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13505408561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英语</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吕老师</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15953160925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国际经济与贸易</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孙老师</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15864528541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adjustRightInd w:val="0"/>
              <w:snapToGrid w:val="0"/>
              <w:spacing w:line="360" w:lineRule="auto"/>
              <w:rPr>
                <w:rFonts w:asciiTheme="minorEastAsia" w:hAnsiTheme="minorEastAsia"/>
                <w:color w:val="333333"/>
                <w:spacing w:val="8"/>
              </w:rPr>
            </w:pPr>
            <w:r>
              <w:rPr>
                <w:rFonts w:ascii="宋体" w:hAnsi="宋体" w:eastAsia="宋体" w:cs="宋体"/>
                <w:kern w:val="0"/>
                <w:sz w:val="24"/>
                <w:szCs w:val="24"/>
                <w:lang w:bidi="ar"/>
              </w:rPr>
              <w:t>学前教育</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王老师</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18866139069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会计学</w:t>
            </w:r>
          </w:p>
        </w:tc>
        <w:tc>
          <w:tcPr>
            <w:tcW w:w="1745"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宋老师</w:t>
            </w:r>
          </w:p>
        </w:tc>
        <w:tc>
          <w:tcPr>
            <w:tcW w:w="2082" w:type="dxa"/>
            <w:vAlign w:val="center"/>
          </w:tcPr>
          <w:p>
            <w:pPr>
              <w:pStyle w:val="3"/>
              <w:adjustRightInd w:val="0"/>
              <w:snapToGrid w:val="0"/>
              <w:spacing w:before="0" w:beforeAutospacing="0" w:after="0" w:afterAutospacing="0" w:line="360" w:lineRule="auto"/>
              <w:jc w:val="both"/>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19953132391</w:t>
            </w:r>
          </w:p>
        </w:tc>
      </w:tr>
    </w:tbl>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333333"/>
          <w:spacing w:val="8"/>
        </w:rPr>
      </w:pP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333333"/>
          <w:spacing w:val="8"/>
        </w:rPr>
      </w:pP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333333"/>
          <w:spacing w:val="8"/>
        </w:rPr>
      </w:pPr>
      <w:r>
        <w:rPr>
          <w:rFonts w:hint="eastAsia" w:asciiTheme="minorEastAsia" w:hAnsiTheme="minorEastAsia" w:eastAsiaTheme="minorEastAsia"/>
          <w:color w:val="333333"/>
          <w:spacing w:val="8"/>
        </w:rPr>
        <w:t xml:space="preserve">                                        教 务 处</w:t>
      </w:r>
    </w:p>
    <w:p>
      <w:pPr>
        <w:pStyle w:val="3"/>
        <w:shd w:val="clear" w:color="auto" w:fill="FFFFFF"/>
        <w:adjustRightInd w:val="0"/>
        <w:snapToGrid w:val="0"/>
        <w:spacing w:before="0" w:beforeAutospacing="0" w:after="0" w:afterAutospacing="0" w:line="360" w:lineRule="auto"/>
        <w:ind w:firstLine="420"/>
        <w:rPr>
          <w:rFonts w:hint="eastAsia" w:asciiTheme="minorEastAsia" w:hAnsiTheme="minorEastAsia" w:eastAsiaTheme="minorEastAsia"/>
          <w:color w:val="333333"/>
          <w:spacing w:val="8"/>
        </w:rPr>
      </w:pPr>
      <w:r>
        <w:rPr>
          <w:rFonts w:hint="eastAsia" w:asciiTheme="minorEastAsia" w:hAnsiTheme="minorEastAsia" w:eastAsiaTheme="minorEastAsia"/>
          <w:color w:val="333333"/>
          <w:spacing w:val="8"/>
        </w:rPr>
        <w:t xml:space="preserve">                                    </w:t>
      </w:r>
      <w:r>
        <w:rPr>
          <w:rFonts w:asciiTheme="minorEastAsia" w:hAnsiTheme="minorEastAsia" w:eastAsiaTheme="minorEastAsia"/>
          <w:color w:val="333333"/>
          <w:spacing w:val="8"/>
        </w:rPr>
        <w:t>201</w:t>
      </w:r>
      <w:r>
        <w:rPr>
          <w:rFonts w:hint="eastAsia" w:asciiTheme="minorEastAsia" w:hAnsiTheme="minorEastAsia" w:eastAsiaTheme="minorEastAsia"/>
          <w:color w:val="333333"/>
          <w:spacing w:val="8"/>
        </w:rPr>
        <w:t>9</w:t>
      </w:r>
      <w:r>
        <w:rPr>
          <w:rFonts w:asciiTheme="minorEastAsia" w:hAnsiTheme="minorEastAsia" w:eastAsiaTheme="minorEastAsia"/>
          <w:color w:val="333333"/>
          <w:spacing w:val="8"/>
        </w:rPr>
        <w:t>年</w:t>
      </w:r>
      <w:r>
        <w:rPr>
          <w:rFonts w:hint="eastAsia" w:asciiTheme="minorEastAsia" w:hAnsiTheme="minorEastAsia" w:eastAsiaTheme="minorEastAsia"/>
          <w:color w:val="333333"/>
          <w:spacing w:val="8"/>
        </w:rPr>
        <w:t>6</w:t>
      </w:r>
      <w:r>
        <w:rPr>
          <w:rFonts w:asciiTheme="minorEastAsia" w:hAnsiTheme="minorEastAsia" w:eastAsiaTheme="minorEastAsia"/>
          <w:color w:val="333333"/>
          <w:spacing w:val="8"/>
        </w:rPr>
        <w:t>月</w:t>
      </w:r>
      <w:r>
        <w:rPr>
          <w:rFonts w:hint="eastAsia" w:asciiTheme="minorEastAsia" w:hAnsiTheme="minorEastAsia" w:eastAsiaTheme="minorEastAsia"/>
          <w:color w:val="333333"/>
          <w:spacing w:val="8"/>
        </w:rPr>
        <w:t>5</w:t>
      </w:r>
      <w:r>
        <w:rPr>
          <w:rFonts w:asciiTheme="minorEastAsia" w:hAnsiTheme="minorEastAsia" w:eastAsiaTheme="minorEastAsia"/>
          <w:color w:val="333333"/>
          <w:spacing w:val="8"/>
        </w:rPr>
        <w:t>日</w:t>
      </w:r>
    </w:p>
    <w:p>
      <w:pPr>
        <w:pStyle w:val="3"/>
        <w:shd w:val="clear" w:color="auto" w:fill="FFFFFF"/>
        <w:adjustRightInd w:val="0"/>
        <w:snapToGrid w:val="0"/>
        <w:spacing w:before="0" w:beforeAutospacing="0" w:after="0" w:afterAutospacing="0" w:line="360" w:lineRule="auto"/>
        <w:ind w:firstLine="420"/>
        <w:rPr>
          <w:rFonts w:asciiTheme="minorEastAsia" w:hAnsiTheme="minorEastAsia" w:eastAsiaTheme="minorEastAsia"/>
          <w:color w:val="333333"/>
          <w:spacing w:val="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20"/>
    <w:rsid w:val="000157CC"/>
    <w:rsid w:val="000374F9"/>
    <w:rsid w:val="00114580"/>
    <w:rsid w:val="00130280"/>
    <w:rsid w:val="0019425E"/>
    <w:rsid w:val="001B35F0"/>
    <w:rsid w:val="00214630"/>
    <w:rsid w:val="00282C14"/>
    <w:rsid w:val="002F3720"/>
    <w:rsid w:val="00347ECA"/>
    <w:rsid w:val="003A113B"/>
    <w:rsid w:val="003B185E"/>
    <w:rsid w:val="003C2ADF"/>
    <w:rsid w:val="004130B4"/>
    <w:rsid w:val="004B15CE"/>
    <w:rsid w:val="004C5603"/>
    <w:rsid w:val="004F1168"/>
    <w:rsid w:val="00597E95"/>
    <w:rsid w:val="00696B91"/>
    <w:rsid w:val="006E5D0A"/>
    <w:rsid w:val="006F2EA6"/>
    <w:rsid w:val="00724B99"/>
    <w:rsid w:val="007678A3"/>
    <w:rsid w:val="007C14D2"/>
    <w:rsid w:val="008009C2"/>
    <w:rsid w:val="00823CAE"/>
    <w:rsid w:val="008C7730"/>
    <w:rsid w:val="00970DFC"/>
    <w:rsid w:val="00993F7E"/>
    <w:rsid w:val="00A95940"/>
    <w:rsid w:val="00AD4A78"/>
    <w:rsid w:val="00BB6B42"/>
    <w:rsid w:val="00C76315"/>
    <w:rsid w:val="00D71C19"/>
    <w:rsid w:val="00D74E13"/>
    <w:rsid w:val="00DA0DDC"/>
    <w:rsid w:val="00DE4535"/>
    <w:rsid w:val="00E01D45"/>
    <w:rsid w:val="00E80904"/>
    <w:rsid w:val="00F0459D"/>
    <w:rsid w:val="00F70672"/>
    <w:rsid w:val="00F81520"/>
    <w:rsid w:val="00FD1C63"/>
    <w:rsid w:val="00FE3CB3"/>
    <w:rsid w:val="056B5267"/>
    <w:rsid w:val="057504A4"/>
    <w:rsid w:val="05C522E5"/>
    <w:rsid w:val="0EE45D85"/>
    <w:rsid w:val="11253B8E"/>
    <w:rsid w:val="1B8D78D9"/>
    <w:rsid w:val="1D466122"/>
    <w:rsid w:val="2A0E3ABB"/>
    <w:rsid w:val="2BEB7CEA"/>
    <w:rsid w:val="49EB2164"/>
    <w:rsid w:val="64FB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apple-converted-space"/>
    <w:basedOn w:val="6"/>
    <w:qFormat/>
    <w:uiPriority w:val="0"/>
  </w:style>
  <w:style w:type="character" w:customStyle="1" w:styleId="8">
    <w:name w:val="日期 Char"/>
    <w:basedOn w:val="6"/>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283</Words>
  <Characters>1614</Characters>
  <Lines>13</Lines>
  <Paragraphs>3</Paragraphs>
  <TotalTime>315</TotalTime>
  <ScaleCrop>false</ScaleCrop>
  <LinksUpToDate>false</LinksUpToDate>
  <CharactersWithSpaces>1894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2018-06-09T03:25:00Z</dcterms:created>
  <dc:creator>吕慎敏</dc:creator>
  <cp:lastModifiedBy>尹哲君</cp:lastModifiedBy>
  <dcterms:modified xsi:type="dcterms:W3CDTF">2019-06-06T04:16:40Z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